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Harvey Larry Keith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Westrock Coffee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WEST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4009 N. RODNEY PARHAM RD., 4TH FLOOR</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LITTLE</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AR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72212</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ROCK</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SVP - 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30</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60" w:type="dxa"/>
            <w:vAlign w:val="bottom"/>
            <w:gridSpan w:val="2"/>
          </w:tcPr>
          <w:p>
            <w:pPr>
              <w:ind w:left="4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LARRY KEITH</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8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3"/>
              </w:rPr>
              <w:t>HARVEY</w:t>
            </w:r>
          </w:p>
        </w:tc>
        <w:tc>
          <w:tcPr>
            <w:tcW w:w="13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3659"/>
        <w:spacing w:after="0" w:line="273"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T. Christopher Pledger and Blake Schuhmacher, or any one of them acting singly and with full power of substitution, as the undersigned's true and lawful attorneys-in-fact,</w:t>
      </w:r>
    </w:p>
    <w:p>
      <w:pPr>
        <w:spacing w:after="0" w:line="2" w:lineRule="exact"/>
        <w:rPr>
          <w:sz w:val="20"/>
          <w:szCs w:val="20"/>
          <w:color w:val="auto"/>
        </w:rPr>
      </w:pPr>
    </w:p>
    <w:p>
      <w:pPr>
        <w:ind w:right="3899"/>
        <w:spacing w:after="0" w:line="286" w:lineRule="auto"/>
        <w:rPr>
          <w:sz w:val="20"/>
          <w:szCs w:val="20"/>
          <w:color w:val="auto"/>
        </w:rPr>
      </w:pPr>
      <w:r>
        <w:rPr>
          <w:rFonts w:ascii="Courier New" w:cs="Courier New" w:eastAsia="Courier New" w:hAnsi="Courier New"/>
          <w:sz w:val="18"/>
          <w:szCs w:val="18"/>
          <w:color w:val="auto"/>
        </w:rPr>
        <w:t>for such period of time that the undersigned is required to file reports pursuant to Section 16(a) of the Securities Exchange Act of 1934, as amended ("Exchange Act"), with respect to the undersigned's holdings of and transactions in securities issued by Westrock Coffee Company (the "Company"), to:</w:t>
      </w:r>
    </w:p>
    <w:p>
      <w:pPr>
        <w:spacing w:after="0" w:line="82" w:lineRule="exact"/>
        <w:rPr>
          <w:sz w:val="20"/>
          <w:szCs w:val="20"/>
          <w:color w:val="auto"/>
        </w:rPr>
      </w:pPr>
    </w:p>
    <w:p>
      <w:pPr>
        <w:ind w:right="3199"/>
        <w:spacing w:after="0" w:line="257"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(including any amendments thereto), and</w:t>
      </w:r>
    </w:p>
    <w:p>
      <w:pPr>
        <w:ind w:right="365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 ID, if necessary, to obtain EDGAR codes and related documentation for use in filing Forms 3, 4 and 5 in accordance with Section 16(a) of the Exchange Act and the rules thereunder;</w:t>
      </w:r>
    </w:p>
    <w:p>
      <w:pPr>
        <w:spacing w:after="0" w:line="100" w:lineRule="exact"/>
        <w:rPr>
          <w:rFonts w:ascii="Courier New" w:cs="Courier New" w:eastAsia="Courier New" w:hAnsi="Courier New"/>
          <w:sz w:val="20"/>
          <w:szCs w:val="20"/>
          <w:color w:val="auto"/>
        </w:rPr>
      </w:pPr>
    </w:p>
    <w:p>
      <w:pPr>
        <w:ind w:right="2959"/>
        <w:spacing w:after="0" w:line="251"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the execution of any such Form 3, 4, 5 or Form</w:t>
      </w:r>
    </w:p>
    <w:p>
      <w:pPr>
        <w:ind w:right="3779"/>
        <w:spacing w:after="0" w:line="300"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ID (or any amendments thereto) and the filing of such form with the United States Securities and Exchange Commission, any stock exchange or similar authority and any other authority as required by law;</w:t>
      </w:r>
    </w:p>
    <w:p>
      <w:pPr>
        <w:spacing w:after="0" w:line="69" w:lineRule="exact"/>
        <w:rPr>
          <w:rFonts w:ascii="Courier New" w:cs="Courier New" w:eastAsia="Courier New" w:hAnsi="Courier New"/>
          <w:sz w:val="20"/>
          <w:szCs w:val="20"/>
          <w:color w:val="auto"/>
        </w:rPr>
      </w:pPr>
    </w:p>
    <w:p>
      <w:pPr>
        <w:ind w:right="3419"/>
        <w:spacing w:after="0" w:line="283"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attorney-in-fact may approve in its discretion; and</w:t>
      </w:r>
    </w:p>
    <w:p>
      <w:pPr>
        <w:spacing w:after="0" w:line="87" w:lineRule="exact"/>
        <w:rPr>
          <w:rFonts w:ascii="Courier New" w:cs="Courier New" w:eastAsia="Courier New" w:hAnsi="Courier New"/>
          <w:sz w:val="18"/>
          <w:szCs w:val="18"/>
          <w:color w:val="auto"/>
        </w:rPr>
      </w:pPr>
    </w:p>
    <w:p>
      <w:pPr>
        <w:ind w:right="3199"/>
        <w:spacing w:after="0" w:line="254"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attorneys-in-fact and on the undersigned behalf, information regarding transactions in the Company's securities from any third party, including brokers, employee benefit plan administrators and trustees, and the undersigned hereby authorizes any such person to release any such information to such attorneys-in-fact and approves and ratifies any such release of such information.</w:t>
      </w:r>
    </w:p>
    <w:p>
      <w:pPr>
        <w:spacing w:after="0" w:line="108"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all and every act requisite, necessary and proper to be done in the exercise of any of the rights and powers herein granted, as fully to all intents and purposes as the undersigned could do if personally present, with full power of substitution, hereby ratifying and confirming all that such attorneys-in-fact, or their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or other applicable securities laws or rules.</w:t>
      </w:r>
    </w:p>
    <w:p>
      <w:pPr>
        <w:spacing w:after="0" w:line="322" w:lineRule="exact"/>
        <w:rPr>
          <w:sz w:val="20"/>
          <w:szCs w:val="20"/>
          <w:color w:val="auto"/>
        </w:rPr>
      </w:pPr>
    </w:p>
    <w:p>
      <w:pPr>
        <w:ind w:right="3539"/>
        <w:spacing w:after="0" w:line="286" w:lineRule="auto"/>
        <w:rPr>
          <w:sz w:val="20"/>
          <w:szCs w:val="20"/>
          <w:color w:val="auto"/>
        </w:rPr>
      </w:pPr>
      <w:r>
        <w:rPr>
          <w:rFonts w:ascii="Courier New" w:cs="Courier New" w:eastAsia="Courier New" w:hAnsi="Courier New"/>
          <w:sz w:val="18"/>
          <w:szCs w:val="18"/>
          <w:color w:val="auto"/>
        </w:rPr>
        <w:t>This Power of Attorney does not relieve the undersigned from any responsibility for compliance with the undersigned's obligations under the Exchange Act, including, without limitation, the reporting requirements under Section 16 of the Exchange Act. Additionally, the Company does not represent or warrant that it will be able to in all cases timely and accurately file Section 16 reports on behalf of the</w:t>
      </w:r>
    </w:p>
    <w:p>
      <w:pPr>
        <w:sectPr>
          <w:pgSz w:w="11900" w:h="16882" w:orient="portrait"/>
          <w:cols w:equalWidth="0" w:num="1">
            <w:col w:w="9979"/>
          </w:cols>
          <w:pgMar w:left="480" w:top="106" w:right="1440" w:bottom="0" w:gutter="0" w:footer="0" w:header="0"/>
        </w:sectPr>
      </w:pPr>
    </w:p>
    <w:bookmarkStart w:id="2" w:name="page3"/>
    <w:bookmarkEnd w:id="2"/>
    <w:p>
      <w:pPr>
        <w:ind w:right="3659"/>
        <w:spacing w:after="0" w:line="275" w:lineRule="auto"/>
        <w:rPr>
          <w:sz w:val="20"/>
          <w:szCs w:val="20"/>
          <w:color w:val="auto"/>
        </w:rPr>
      </w:pPr>
      <w:r>
        <w:rPr>
          <w:rFonts w:ascii="Courier New" w:cs="Courier New" w:eastAsia="Courier New" w:hAnsi="Courier New"/>
          <w:sz w:val="20"/>
          <w:szCs w:val="20"/>
          <w:color w:val="auto"/>
        </w:rPr>
        <w:t>undersigned due to various factors and the undersigned's and the Company's need to rely on others for information, including the undersigned and brokers of the undersigned.</w:t>
      </w:r>
    </w:p>
    <w:p>
      <w:pPr>
        <w:spacing w:after="0" w:line="87" w:lineRule="exact"/>
        <w:rPr>
          <w:sz w:val="20"/>
          <w:szCs w:val="20"/>
          <w:color w:val="auto"/>
        </w:rPr>
      </w:pPr>
    </w:p>
    <w:p>
      <w:pPr>
        <w:ind w:right="34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9" w:lineRule="exact"/>
        <w:rPr>
          <w:sz w:val="20"/>
          <w:szCs w:val="20"/>
          <w:color w:val="auto"/>
        </w:rPr>
      </w:pPr>
    </w:p>
    <w:p>
      <w:pPr>
        <w:ind w:right="3659"/>
        <w:spacing w:after="0" w:line="29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29th day of May, 2026.</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Larry Keith Harvey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Larry Keith Harvey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9170" TargetMode="External"/><Relationship Id="rId11"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2026-06-09T15:46:34Z</dcterms:created>
  <dcterms:modified xsi:type="dcterms:W3CDTF">2026-06-09T15:46:34Z</dcterms:modified>
</cp:coreProperties>
</file>