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EDMUNDS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4009 N. RODNEY PARHAM RD., 4TH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LITTLE ROCK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Westrock Coffee Co</w:t>
              </w:r>
            </w:hyperlink>
            <w:r>
              <w:rPr/>
              <w:t xml:space="preserve"> [ </w:t>
            </w:r>
            <w:r>
              <w:rPr>
                <w:rFonts w:ascii="Times;serif" w:hAnsi="Times;serif"/>
                <w:color w:val="0000FF"/>
                <w:sz w:val="24"/>
                <w:shd w:fill="FFFFFF" w:val="clear"/>
              </w:rPr>
              <w:t>WEST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0"/>
        <w:gridCol w:w="903"/>
        <w:gridCol w:w="773"/>
        <w:gridCol w:w="600"/>
        <w:gridCol w:w="346"/>
        <w:gridCol w:w="969"/>
        <w:gridCol w:w="449"/>
        <w:gridCol w:w="611"/>
        <w:gridCol w:w="1153"/>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10,798</w:t>
            </w:r>
            <w:r>
              <w:rPr>
                <w:rFonts w:ascii="Times;serif" w:hAnsi="Times;serif"/>
                <w:color w:val="008000"/>
                <w:position w:val="7"/>
                <w:sz w:val="16"/>
                <w:sz w:val="20"/>
                <w:shd w:fill="FFFFFF" w:val="clear"/>
              </w:rPr>
              <w:t>(1)</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119,178</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stock units ("RSUs") are granted pursuant to the Westrock Coffee Company 2022 Equity Incentive Plan. Each RSU represents a contingent right to receive one share of the issuer's common stock, par value $0.01 per share. The RSUs will vest on June 5, 2027, subject to the reporting person's continued service on the board of directors of the issuer through the applicable vesting date and certain early vesting conditions.</w:t>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BY: ROBERT P. MCKINNEY AS ATTORNEY-IN-FACT FOR MARK A. EDMUNDS</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8634" TargetMode="External"/><Relationship Id="rId5" Type="http://schemas.openxmlformats.org/officeDocument/2006/relationships/hyperlink" Target="http://www.sec.gov/cgi-bin/browse-edgar?action=getcompany&amp;CIK=00018063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3433</Characters>
  <CharactersWithSpaces>4014</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